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159" w:type="dxa"/>
        <w:tblInd w:w="2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843"/>
        <w:gridCol w:w="1229"/>
        <w:gridCol w:w="2523"/>
        <w:gridCol w:w="49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159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攀枝花市仁和区疾病预防控制中心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72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年度资金总额: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72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72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20" w:firstLineChars="3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</w:t>
            </w:r>
          </w:p>
        </w:tc>
        <w:tc>
          <w:tcPr>
            <w:tcW w:w="95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切实履行法律赋予的卫生监督执法职责，加强辖区内公共场所、生活饮用水及涉水产品、学校及托幼机构、医疗、放射、消毒、职业等行业领域综合监督执法，保障人民群众合法健康权益。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卫生监督执法工作运转经费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拟聘1名工作人员协助完成2026年卫生监督执法相关工作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卫生监督人员制服购置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购置6名卫生监督员卫生监督制服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保障卫生监督执法工作正常运转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2026年卫生监督执法相关工作，监督频次、监督覆盖率、量化分级评级率、从业人员健康证持证率、安全套推广使用检查率、卫生行政处罚、突发公共卫生事件应急处理及举报投诉处理率、“双随机“抽检、卫生计生监督执法信息报送均达到行业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加强卫生监督制、着装管理，促进卫生监督队伍规范化建设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购置卫生监督制服符合《卫生部办公厅关于进一步规范卫生监督制、着装管理的通知》质量规定，促进卫生监督执法队伍规范化建设，推进卫生监督执法工作的正常开展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按年度工作安排推进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年全年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卫生监督执法工作运转费用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卫生监督人员制服购置费用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项目效益  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预防卫生安全事故的发生，保障人民群众合法的健康权益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有效预防卫生安全事故的发生，保障人民群众身体健康，提高广大人民群众卫生法律法规意识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管理部门满意度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≥85%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被监督对象满意度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≥85%</w:t>
            </w:r>
          </w:p>
        </w:tc>
      </w:tr>
    </w:tbl>
    <w:p/>
    <w:p/>
    <w:p/>
    <w:p/>
    <w:p/>
    <w:p/>
    <w:p/>
    <w:tbl>
      <w:tblPr>
        <w:tblStyle w:val="2"/>
        <w:tblpPr w:leftFromText="180" w:rightFromText="180" w:vertAnchor="text" w:horzAnchor="page" w:tblpX="928" w:tblpY="-5"/>
        <w:tblOverlap w:val="never"/>
        <w:tblW w:w="97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734"/>
        <w:gridCol w:w="1216"/>
        <w:gridCol w:w="1827"/>
        <w:gridCol w:w="54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788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特定目标类项目支出绩效目标申报表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9788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ind w:firstLine="4320" w:firstLineChars="1800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 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艾滋病综合防治及慢性病综合防控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攀枝花市仁和区疾病预防控制中心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5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年度资金总额:</w:t>
            </w:r>
          </w:p>
        </w:tc>
        <w:tc>
          <w:tcPr>
            <w:tcW w:w="5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53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5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253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5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</w:t>
            </w:r>
          </w:p>
        </w:tc>
        <w:tc>
          <w:tcPr>
            <w:tcW w:w="92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艾滋病综合防治工作：开展艾滋病患者管理随访、宣传干预、监测检测、艾滋病报告管理、配偶检测、CD4检测、抗病毒治疗、预防母婴传播及艾滋病感染者关怀支持活动等工作；结核综合防治、病人管理等；持续开展慢性病防控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吸毒人员美沙酮维持治疗</w:t>
            </w:r>
          </w:p>
        </w:tc>
        <w:tc>
          <w:tcPr>
            <w:tcW w:w="5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0.8万人次以上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落实各项防控措施</w:t>
            </w:r>
          </w:p>
        </w:tc>
        <w:tc>
          <w:tcPr>
            <w:tcW w:w="5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继续扩大艾滋病抗体检测，全年开展艾滋病抗体检测达到12万人次以上、人群筛查覆盖率达40%及以上，随访艾滋病感染者890人以上，开展CD4检测850人次，配偶告知及检测达90%，抗病毒治疗830人以上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完成慢性病防治工作任务</w:t>
            </w:r>
          </w:p>
        </w:tc>
        <w:tc>
          <w:tcPr>
            <w:tcW w:w="5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完成死亡信息登记户籍人口不少于1500人，完成肿瘤随访登记任务不少于500人，人脑血管登记不少于400人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吸毒人员美沙酮维持治疗</w:t>
            </w:r>
          </w:p>
        </w:tc>
        <w:tc>
          <w:tcPr>
            <w:tcW w:w="5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全年维持治疗率在85%以上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落实各项防控措施</w:t>
            </w:r>
          </w:p>
        </w:tc>
        <w:tc>
          <w:tcPr>
            <w:tcW w:w="5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扩大检测新发现艾滋病感染者/病人，随访检测比例、配偶检测率、结核筛查率达到上级考核要，通过实施患者随访管理、动员，使艾滋病患者抗病毒治疗率达到95%以上，治疗有效率达到95%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控制慢性病防治工作任务</w:t>
            </w:r>
          </w:p>
        </w:tc>
        <w:tc>
          <w:tcPr>
            <w:tcW w:w="5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1、全人群死因监测总错误率≤5%   2、肿瘤随访登记漏报率≤10%;随访率≥85%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3、心脑血管疾病监测工作三大病种总发病报告率为 350—550/10 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按照工作计划开展工作</w:t>
            </w:r>
          </w:p>
        </w:tc>
        <w:tc>
          <w:tcPr>
            <w:tcW w:w="5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2026年1月至2026年12月落实工作措施，各项考核指标任务达到上级要求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艾滋病防治、慢病防控及美沙酮维持治疗</w:t>
            </w:r>
          </w:p>
        </w:tc>
        <w:tc>
          <w:tcPr>
            <w:tcW w:w="5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项目效益  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通过持续开展工作，降低并遏制艾滋病、慢性病流行及危害</w:t>
            </w:r>
          </w:p>
        </w:tc>
        <w:tc>
          <w:tcPr>
            <w:tcW w:w="5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辖区各人群艾滋病防治知识知晓率均达90%以上，辖区各人群慢性病防治知识知晓率均达62%以上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5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≥85%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0MzM1YzA4YTI2YWExZWY0YmQwNmUwNGRjMzQ0ZmIifQ=="/>
  </w:docVars>
  <w:rsids>
    <w:rsidRoot w:val="00000000"/>
    <w:rsid w:val="046521B7"/>
    <w:rsid w:val="0A745034"/>
    <w:rsid w:val="0AFC3C93"/>
    <w:rsid w:val="0B824916"/>
    <w:rsid w:val="1CCA43C9"/>
    <w:rsid w:val="1CF06807"/>
    <w:rsid w:val="1E8A260F"/>
    <w:rsid w:val="1EEF38BE"/>
    <w:rsid w:val="20780352"/>
    <w:rsid w:val="235525BC"/>
    <w:rsid w:val="24C42EE0"/>
    <w:rsid w:val="25C61DFB"/>
    <w:rsid w:val="2AE333EA"/>
    <w:rsid w:val="2ED523E6"/>
    <w:rsid w:val="30E233C0"/>
    <w:rsid w:val="3DA920F5"/>
    <w:rsid w:val="4314381B"/>
    <w:rsid w:val="43A026F9"/>
    <w:rsid w:val="46A537B7"/>
    <w:rsid w:val="492E72C7"/>
    <w:rsid w:val="4BEA4569"/>
    <w:rsid w:val="4C6373E0"/>
    <w:rsid w:val="4D0D1DF7"/>
    <w:rsid w:val="50AB4CB8"/>
    <w:rsid w:val="5C2C0F77"/>
    <w:rsid w:val="609910E7"/>
    <w:rsid w:val="62533A5E"/>
    <w:rsid w:val="64546A26"/>
    <w:rsid w:val="6A3C0F94"/>
    <w:rsid w:val="6B9472F9"/>
    <w:rsid w:val="6BFF49A6"/>
    <w:rsid w:val="719C60CB"/>
    <w:rsid w:val="75295BC1"/>
    <w:rsid w:val="76943C19"/>
    <w:rsid w:val="7A2C59FE"/>
    <w:rsid w:val="7CED04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688</Words>
  <Characters>715</Characters>
  <Lines>0</Lines>
  <Paragraphs>0</Paragraphs>
  <TotalTime>4</TotalTime>
  <ScaleCrop>false</ScaleCrop>
  <LinksUpToDate>false</LinksUpToDate>
  <CharactersWithSpaces>718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2024-11-07T04:26:00Z</dcterms:created>
  <dc:creator>Administrator</dc:creator>
  <cp:lastModifiedBy>龙柱洵</cp:lastModifiedBy>
  <cp:lastPrinted>2024-11-07T04:31:00Z</cp:lastPrinted>
  <dcterms:modified xsi:type="dcterms:W3CDTF">2026-01-22T09:32:21Z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F07262930D94428BB58EB36BBBF7AD82</vt:lpwstr>
  </property>
  <property fmtid="{D5CDD505-2E9C-101B-9397-08002B2CF9AE}" pid="4" name="KSOTemplateDocerSaveRecord">
    <vt:lpwstr>eyJoZGlkIjoiZmY0MzM1YzA4YTI2YWExZWY0YmQwNmUwNGRjMzQ0ZmIiLCJ1c2VySWQiOiIxNDg2MjcyNzQ1In0=</vt:lpwstr>
  </property>
</Properties>
</file>